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6619"/>
      </w:tblGrid>
      <w:tr w:rsidR="008E7035" w14:paraId="31767BAD" w14:textId="77777777" w:rsidTr="008E7035">
        <w:trPr>
          <w:trHeight w:val="1437"/>
        </w:trPr>
        <w:tc>
          <w:tcPr>
            <w:tcW w:w="1684" w:type="dxa"/>
          </w:tcPr>
          <w:p w14:paraId="5AF9771D" w14:textId="77777777" w:rsidR="008E7035" w:rsidRDefault="008E7035" w:rsidP="005D51E9">
            <w:pPr>
              <w:pStyle w:val="Intestazione"/>
              <w:jc w:val="center"/>
            </w:pPr>
          </w:p>
          <w:p w14:paraId="2F5B782A" w14:textId="44756271" w:rsidR="008E7035" w:rsidRDefault="008E7035" w:rsidP="005D51E9">
            <w:pPr>
              <w:pStyle w:val="Intestazione"/>
              <w:jc w:val="center"/>
            </w:pPr>
            <w:r w:rsidRPr="004861D5">
              <w:rPr>
                <w:noProof/>
              </w:rPr>
              <w:drawing>
                <wp:inline distT="0" distB="0" distL="0" distR="0" wp14:anchorId="7B071D3C" wp14:editId="106316FB">
                  <wp:extent cx="936625" cy="936625"/>
                  <wp:effectExtent l="0" t="0" r="0" b="0"/>
                  <wp:docPr id="3" name="Immagine 3" descr="S:\SCAMBIO\LOGO\Stemma VS_2009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:\SCAMBIO\LOGO\Stemma VS_2009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14:paraId="631DBAEC" w14:textId="77777777" w:rsidR="008E7035" w:rsidRPr="008E7035" w:rsidRDefault="008E7035" w:rsidP="005D51E9">
            <w:pPr>
              <w:pStyle w:val="Intestazione"/>
              <w:spacing w:line="600" w:lineRule="atLeast"/>
              <w:jc w:val="center"/>
              <w:rPr>
                <w:sz w:val="36"/>
                <w:szCs w:val="18"/>
              </w:rPr>
            </w:pPr>
            <w:r w:rsidRPr="008E7035">
              <w:rPr>
                <w:sz w:val="36"/>
                <w:szCs w:val="18"/>
              </w:rPr>
              <w:t>COMUNE DI VENEGONO SUPERIORE</w:t>
            </w:r>
          </w:p>
          <w:p w14:paraId="0698DD82" w14:textId="77777777" w:rsidR="008E7035" w:rsidRDefault="008E7035" w:rsidP="005D51E9">
            <w:pPr>
              <w:pStyle w:val="Intestazione"/>
              <w:spacing w:line="600" w:lineRule="atLeast"/>
              <w:jc w:val="center"/>
            </w:pPr>
            <w:r w:rsidRPr="008E7035">
              <w:rPr>
                <w:sz w:val="22"/>
                <w:szCs w:val="18"/>
              </w:rPr>
              <w:t>PROVINCIA DI VARESE</w:t>
            </w:r>
          </w:p>
        </w:tc>
      </w:tr>
    </w:tbl>
    <w:p w14:paraId="1F3249F1" w14:textId="77777777" w:rsidR="0030752A" w:rsidRDefault="0030752A" w:rsidP="004471F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2CD3690" w14:textId="63706881" w:rsidR="00344F19" w:rsidRPr="00203BC1" w:rsidRDefault="004B7636" w:rsidP="004471F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03BC1">
        <w:rPr>
          <w:rFonts w:cstheme="minorHAnsi"/>
          <w:b/>
          <w:bCs/>
          <w:sz w:val="28"/>
          <w:szCs w:val="28"/>
          <w:u w:val="single"/>
        </w:rPr>
        <w:t xml:space="preserve">AVVISO PUBBLICO </w:t>
      </w:r>
    </w:p>
    <w:p w14:paraId="05B30E07" w14:textId="77777777" w:rsidR="004B7636" w:rsidRPr="002F5092" w:rsidRDefault="004B7636" w:rsidP="00344F19">
      <w:pPr>
        <w:spacing w:before="120" w:after="0" w:line="240" w:lineRule="auto"/>
        <w:rPr>
          <w:rFonts w:cstheme="minorHAnsi"/>
          <w:b/>
          <w:sz w:val="24"/>
          <w:szCs w:val="24"/>
        </w:rPr>
      </w:pPr>
    </w:p>
    <w:p w14:paraId="5EB46DFF" w14:textId="77777777" w:rsidR="008E7035" w:rsidRDefault="004B7636" w:rsidP="002F5092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2F5092">
        <w:rPr>
          <w:rFonts w:cstheme="minorHAnsi"/>
          <w:b/>
          <w:caps/>
          <w:sz w:val="24"/>
          <w:szCs w:val="24"/>
        </w:rPr>
        <w:t xml:space="preserve">IL COMUNE DI </w:t>
      </w:r>
      <w:r w:rsidR="008E7035">
        <w:rPr>
          <w:rFonts w:cstheme="minorHAnsi"/>
          <w:b/>
          <w:caps/>
          <w:sz w:val="24"/>
          <w:szCs w:val="24"/>
        </w:rPr>
        <w:t>VENEGONO SUPERIORE</w:t>
      </w:r>
      <w:r w:rsidRPr="002F5092">
        <w:rPr>
          <w:rFonts w:cstheme="minorHAnsi"/>
          <w:b/>
          <w:caps/>
          <w:sz w:val="24"/>
          <w:szCs w:val="24"/>
        </w:rPr>
        <w:t xml:space="preserve"> </w:t>
      </w:r>
      <w:r w:rsidR="007E73BF" w:rsidRPr="002F5092">
        <w:rPr>
          <w:rFonts w:cstheme="minorHAnsi"/>
          <w:b/>
          <w:caps/>
          <w:sz w:val="24"/>
          <w:szCs w:val="24"/>
        </w:rPr>
        <w:t xml:space="preserve">informa </w:t>
      </w:r>
      <w:r w:rsidR="005E1B7D" w:rsidRPr="002F5092">
        <w:rPr>
          <w:rFonts w:cstheme="minorHAnsi"/>
          <w:b/>
          <w:caps/>
          <w:sz w:val="24"/>
          <w:szCs w:val="24"/>
        </w:rPr>
        <w:t xml:space="preserve">CHE </w:t>
      </w:r>
      <w:proofErr w:type="gramStart"/>
      <w:r w:rsidR="005E1B7D" w:rsidRPr="002F5092">
        <w:rPr>
          <w:rFonts w:cstheme="minorHAnsi"/>
          <w:b/>
          <w:caps/>
          <w:sz w:val="24"/>
          <w:szCs w:val="24"/>
        </w:rPr>
        <w:t>E’</w:t>
      </w:r>
      <w:proofErr w:type="gramEnd"/>
      <w:r w:rsidR="00A96E0B" w:rsidRPr="002F5092">
        <w:rPr>
          <w:rFonts w:cstheme="minorHAnsi"/>
          <w:b/>
          <w:caps/>
          <w:sz w:val="24"/>
          <w:szCs w:val="24"/>
        </w:rPr>
        <w:t xml:space="preserve"> </w:t>
      </w:r>
      <w:r w:rsidR="005E1B7D" w:rsidRPr="002F5092">
        <w:rPr>
          <w:rFonts w:cstheme="minorHAnsi"/>
          <w:b/>
          <w:caps/>
          <w:sz w:val="24"/>
          <w:szCs w:val="24"/>
        </w:rPr>
        <w:t xml:space="preserve">APERTO </w:t>
      </w:r>
      <w:r w:rsidR="00A96E0B" w:rsidRPr="002F5092">
        <w:rPr>
          <w:rFonts w:cstheme="minorHAnsi"/>
          <w:b/>
          <w:caps/>
          <w:sz w:val="24"/>
          <w:szCs w:val="24"/>
        </w:rPr>
        <w:t xml:space="preserve">il </w:t>
      </w:r>
      <w:r w:rsidR="005E1B7D" w:rsidRPr="002F5092">
        <w:rPr>
          <w:rFonts w:cstheme="minorHAnsi"/>
          <w:b/>
          <w:caps/>
          <w:sz w:val="24"/>
          <w:szCs w:val="24"/>
        </w:rPr>
        <w:t xml:space="preserve">BANDO </w:t>
      </w:r>
    </w:p>
    <w:p w14:paraId="7472F6CC" w14:textId="794D3F9F" w:rsidR="002F5092" w:rsidRDefault="00A96E0B" w:rsidP="002F5092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2F5092">
        <w:rPr>
          <w:rFonts w:cstheme="minorHAnsi"/>
          <w:b/>
          <w:caps/>
          <w:sz w:val="24"/>
          <w:szCs w:val="24"/>
        </w:rPr>
        <w:t xml:space="preserve">“contributo regionale di solidarieta’ </w:t>
      </w:r>
      <w:r w:rsidR="00F30CF6">
        <w:rPr>
          <w:rFonts w:cstheme="minorHAnsi"/>
          <w:b/>
          <w:caps/>
          <w:sz w:val="24"/>
          <w:szCs w:val="24"/>
        </w:rPr>
        <w:t>2024</w:t>
      </w:r>
      <w:r w:rsidR="002F5092">
        <w:rPr>
          <w:rFonts w:cstheme="minorHAnsi"/>
          <w:b/>
          <w:caps/>
          <w:sz w:val="24"/>
          <w:szCs w:val="24"/>
        </w:rPr>
        <w:t>”</w:t>
      </w:r>
    </w:p>
    <w:p w14:paraId="490AFAD5" w14:textId="0CF70904" w:rsidR="002F5092" w:rsidRPr="002F5092" w:rsidRDefault="002F5092" w:rsidP="002F5092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2F5092">
        <w:rPr>
          <w:rFonts w:cstheme="minorHAnsi"/>
          <w:b/>
          <w:caps/>
          <w:sz w:val="24"/>
          <w:szCs w:val="24"/>
        </w:rPr>
        <w:t>a favore dei</w:t>
      </w:r>
      <w:r w:rsidRPr="002F5092">
        <w:rPr>
          <w:b/>
        </w:rPr>
        <w:t xml:space="preserve"> </w:t>
      </w:r>
      <w:r w:rsidRPr="002F5092">
        <w:rPr>
          <w:rFonts w:cstheme="minorHAnsi"/>
          <w:b/>
          <w:caps/>
          <w:sz w:val="24"/>
          <w:szCs w:val="24"/>
        </w:rPr>
        <w:t xml:space="preserve">NUCLEI FAMILIARI IN CONDIZIONI DI COMPROVATE DIFFICOLTÀ ECONOMICHE R.R. </w:t>
      </w:r>
      <w:r w:rsidR="00950132">
        <w:rPr>
          <w:rFonts w:cstheme="minorHAnsi"/>
          <w:b/>
          <w:caps/>
          <w:sz w:val="24"/>
          <w:szCs w:val="24"/>
        </w:rPr>
        <w:t xml:space="preserve">10/10/2019 n.11 - DGR 17/06/2024 </w:t>
      </w:r>
      <w:r w:rsidRPr="002F5092">
        <w:rPr>
          <w:rFonts w:cstheme="minorHAnsi"/>
          <w:b/>
          <w:caps/>
          <w:sz w:val="24"/>
          <w:szCs w:val="24"/>
        </w:rPr>
        <w:t>n. XI</w:t>
      </w:r>
      <w:r w:rsidR="00513367">
        <w:rPr>
          <w:rFonts w:cstheme="minorHAnsi"/>
          <w:b/>
          <w:caps/>
          <w:sz w:val="24"/>
          <w:szCs w:val="24"/>
        </w:rPr>
        <w:t>i</w:t>
      </w:r>
      <w:r w:rsidRPr="002F5092">
        <w:rPr>
          <w:rFonts w:cstheme="minorHAnsi"/>
          <w:b/>
          <w:caps/>
          <w:sz w:val="24"/>
          <w:szCs w:val="24"/>
        </w:rPr>
        <w:t>/</w:t>
      </w:r>
      <w:r w:rsidR="00950132">
        <w:rPr>
          <w:rFonts w:cstheme="minorHAnsi"/>
          <w:b/>
          <w:caps/>
          <w:sz w:val="24"/>
          <w:szCs w:val="24"/>
        </w:rPr>
        <w:t>2563</w:t>
      </w:r>
    </w:p>
    <w:p w14:paraId="500D14E6" w14:textId="20E78CEE" w:rsidR="00203BC1" w:rsidRPr="00950132" w:rsidRDefault="00203BC1" w:rsidP="00E164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AC1F0F" w14:textId="77777777" w:rsidR="002F5092" w:rsidRPr="00950132" w:rsidRDefault="002F5092" w:rsidP="00E164C7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OGGETTO DELL’AVVISO </w:t>
      </w:r>
    </w:p>
    <w:p w14:paraId="3383CAB8" w14:textId="30E71806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Il presente avviso disciplina le modalità di richiesta e ammissione al contribu</w:t>
      </w:r>
      <w:r w:rsidR="00950132" w:rsidRPr="00950132">
        <w:rPr>
          <w:sz w:val="24"/>
          <w:szCs w:val="24"/>
        </w:rPr>
        <w:t>to regionale di solidarietà 2024</w:t>
      </w:r>
      <w:r w:rsidRPr="00950132">
        <w:rPr>
          <w:sz w:val="24"/>
          <w:szCs w:val="24"/>
        </w:rPr>
        <w:t xml:space="preserve"> per i nuclei familiari in condizioni di comprovate difficoltà economiche (art. 2, comma 1, lett. b R.R. 11/2019). Per quanto riguarda l’attribuzione della misura contributiva a favore dei nuclei familiari in condizioni di indigenza si rimanda a quanto previsto dagli artt. 3 e 4 del R.R. 11/2019.</w:t>
      </w:r>
    </w:p>
    <w:p w14:paraId="068D0708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</w:p>
    <w:p w14:paraId="289CC04D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CARATTERISTICHE DEL CONTRIBUTO </w:t>
      </w:r>
    </w:p>
    <w:p w14:paraId="6B537CFE" w14:textId="208A1EF2" w:rsidR="002F5092" w:rsidRPr="00950132" w:rsidRDefault="002F5092" w:rsidP="002F50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0132">
        <w:rPr>
          <w:sz w:val="24"/>
          <w:szCs w:val="24"/>
        </w:rPr>
        <w:t>Il contributo regionale di solidarietà di cui all’art. 25, comma 3 della L.R. 16/2016, è una misura di sostegno economico, a carattere temporaneo, che contribuisce a garantire la sopportabilità della locazione sociale degli assegnatari dei servizi abitativi pubblici in condizioni di comprovate difficoltà economiche.</w:t>
      </w:r>
    </w:p>
    <w:p w14:paraId="5950FD9C" w14:textId="77777777" w:rsidR="002F5092" w:rsidRPr="00950132" w:rsidRDefault="002F5092" w:rsidP="002F50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61A91E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REQUISITI DI ACCESSO </w:t>
      </w:r>
    </w:p>
    <w:p w14:paraId="0AC5ED06" w14:textId="6AD9FB48" w:rsidR="00E96B8A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Possono presentare domanda per l’assegnazione del contribu</w:t>
      </w:r>
      <w:r w:rsidR="00950132" w:rsidRPr="00950132">
        <w:rPr>
          <w:sz w:val="24"/>
          <w:szCs w:val="24"/>
        </w:rPr>
        <w:t>to regionale di solidarietà 2024</w:t>
      </w:r>
      <w:r w:rsidRPr="00950132">
        <w:rPr>
          <w:sz w:val="24"/>
          <w:szCs w:val="24"/>
        </w:rPr>
        <w:t xml:space="preserve"> gli assegnatari dei servizi abitativi pubblici in comprovate difficoltà economiche in possesso dei seguenti requisiti alla data del presente avviso:</w:t>
      </w:r>
    </w:p>
    <w:p w14:paraId="40101670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a) appartenenza all’area della protezione, dell’accesso e della permanenza ai sensi dell’articolo 31 della L.R. 27/2009; </w:t>
      </w:r>
    </w:p>
    <w:p w14:paraId="73A1D7C3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b) possedere un periodo di permanenza nell’alloggio SAP assegnato da almeno 24 mesi; </w:t>
      </w:r>
    </w:p>
    <w:p w14:paraId="7A5776B7" w14:textId="4BCDD789" w:rsidR="002F5092" w:rsidRPr="00950132" w:rsidRDefault="0095013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c) avere un ISEE 2024</w:t>
      </w:r>
      <w:r w:rsidR="002F5092" w:rsidRPr="00950132">
        <w:rPr>
          <w:sz w:val="24"/>
          <w:szCs w:val="24"/>
        </w:rPr>
        <w:t xml:space="preserve"> del nucleo familiare, in corso di validità, inferiore ad € 9.360,00; </w:t>
      </w:r>
    </w:p>
    <w:p w14:paraId="6A469728" w14:textId="08724EA8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d) assenza di un provvedimento decadenza per il verificarsi di una delle condizioni di cui punti 3) e 4) della lett. a) del comma 1 dell’art. 25 del R.R. 4/2017 o di una delle violazioni di cui alle lettere da b) a j) del comma 1 e del comma 4 del medesimo art. 25; </w:t>
      </w:r>
    </w:p>
    <w:p w14:paraId="24404665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e) possesso di una soglia patrimoniale corrispondente a quella prevista per l’accesso ai servizi abitativi pubblici dall’art. 7 comma 1 lett. c) punti 1) e 2), del R.R. 4/2017; </w:t>
      </w:r>
    </w:p>
    <w:p w14:paraId="765D11C8" w14:textId="50D94F7B" w:rsidR="002F5092" w:rsidRPr="00950132" w:rsidRDefault="002F5092" w:rsidP="002F50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0132">
        <w:rPr>
          <w:sz w:val="24"/>
          <w:szCs w:val="24"/>
        </w:rPr>
        <w:t>f) essere in regola con l’obbligo di aggiornamento dell’Anagrafe Utenza</w:t>
      </w:r>
    </w:p>
    <w:p w14:paraId="16C7453F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</w:p>
    <w:p w14:paraId="65924E4E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ENTITÀ E FINALITÀ </w:t>
      </w:r>
    </w:p>
    <w:p w14:paraId="270A584C" w14:textId="38D7CE26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L’entità del contributo regionale di solidarietà destinato ai nuclei familiari assegnatari di servizi abitativi pubblici in condizioni di comprovate difficoltà economiche (R.R. 11/2019 – Titolo II, Capo II) è stabilita in un valore economico annuo non superiore a 2.700 euro. Il contributo è finalizzato in primo ordine alla copertura delle spese dei servizi comuni </w:t>
      </w:r>
      <w:r w:rsidR="00950132" w:rsidRPr="00950132">
        <w:rPr>
          <w:sz w:val="24"/>
          <w:szCs w:val="24"/>
        </w:rPr>
        <w:t>a rimborso emesse nell’anno 2024</w:t>
      </w:r>
      <w:r w:rsidRPr="00950132">
        <w:rPr>
          <w:sz w:val="24"/>
          <w:szCs w:val="24"/>
        </w:rPr>
        <w:t xml:space="preserve"> e in </w:t>
      </w:r>
      <w:r w:rsidRPr="00950132">
        <w:rPr>
          <w:sz w:val="24"/>
          <w:szCs w:val="24"/>
        </w:rPr>
        <w:lastRenderedPageBreak/>
        <w:t>secondo ordine, fino ad esaurimento dei fondi a disposizione e comunque entro il valore massimo sopra indicato, alla copertura di eventuale debito pregresso della locazione sociale.</w:t>
      </w:r>
    </w:p>
    <w:p w14:paraId="125B518F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</w:p>
    <w:p w14:paraId="33A6790D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MODALITÀ E TERMINI PER LA PRESENTAZIONE DELLA DOMANDA </w:t>
      </w:r>
    </w:p>
    <w:p w14:paraId="5CDE51CE" w14:textId="0196E0F9" w:rsidR="008E7035" w:rsidRPr="00F11D9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Per ottenere il contributo regionale di solidarietà i nuclei familiari in possesso dei requisiti di cui al punto 2 dovranno compilare il modulo di domanda allegato al presente avviso</w:t>
      </w:r>
      <w:r w:rsidR="008E7035" w:rsidRPr="00950132">
        <w:rPr>
          <w:sz w:val="24"/>
          <w:szCs w:val="24"/>
        </w:rPr>
        <w:t xml:space="preserve"> e consegnarlo presso la sede del Servizio Sociale del Comune di Venegono Superiore o inviarlo alla mail </w:t>
      </w:r>
      <w:hyperlink r:id="rId7" w:history="1">
        <w:r w:rsidR="00F11D92" w:rsidRPr="00573D29">
          <w:rPr>
            <w:rStyle w:val="Collegamentoipertestuale"/>
            <w:sz w:val="24"/>
            <w:szCs w:val="24"/>
          </w:rPr>
          <w:t>protocollo@comune.venegonosuperiore.va.it</w:t>
        </w:r>
      </w:hyperlink>
      <w:r w:rsidR="008E7035" w:rsidRPr="00F11D92">
        <w:rPr>
          <w:sz w:val="24"/>
          <w:szCs w:val="24"/>
        </w:rPr>
        <w:t>.</w:t>
      </w:r>
    </w:p>
    <w:p w14:paraId="1DA0A10F" w14:textId="68270914" w:rsidR="008E7035" w:rsidRPr="00950132" w:rsidRDefault="008E7035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Il modulo compilato andrà consegnato/inviato </w:t>
      </w:r>
      <w:r w:rsidR="00F11D92">
        <w:rPr>
          <w:b/>
          <w:bCs/>
          <w:sz w:val="24"/>
          <w:szCs w:val="24"/>
          <w:u w:val="single"/>
        </w:rPr>
        <w:t>entro il 31/12/2024</w:t>
      </w:r>
      <w:r w:rsidRPr="00950132">
        <w:rPr>
          <w:sz w:val="24"/>
          <w:szCs w:val="24"/>
        </w:rPr>
        <w:t>.</w:t>
      </w:r>
    </w:p>
    <w:p w14:paraId="6401CA9A" w14:textId="77777777" w:rsidR="002F5092" w:rsidRPr="00F11D92" w:rsidRDefault="002F5092" w:rsidP="002F5092">
      <w:pPr>
        <w:spacing w:after="0" w:line="240" w:lineRule="auto"/>
        <w:jc w:val="both"/>
        <w:rPr>
          <w:sz w:val="24"/>
          <w:szCs w:val="24"/>
        </w:rPr>
      </w:pPr>
    </w:p>
    <w:p w14:paraId="13686FF6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ISTRUTTORIA DELLE DOMANDE E FORMAZIONE DELLE GRADUATORIE </w:t>
      </w:r>
    </w:p>
    <w:p w14:paraId="33C65960" w14:textId="025569DB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Il contributo regionale di solidarietà non è cumulabile con altre misure a sostegno del costo della locazione sociale. L’esame delle domande sarà effettuato da un apposito nucleo di valutazione, che procederà alle verifiche come disposto dall’art. 7, comma 4, del R.R. 11/2019. La graduatoria delle domande ammissibili sarà formulata in ordi</w:t>
      </w:r>
      <w:r w:rsidR="00513367" w:rsidRPr="00950132">
        <w:rPr>
          <w:sz w:val="24"/>
          <w:szCs w:val="24"/>
        </w:rPr>
        <w:t>ne crescente di val</w:t>
      </w:r>
      <w:r w:rsidR="00950132" w:rsidRPr="00950132">
        <w:rPr>
          <w:sz w:val="24"/>
          <w:szCs w:val="24"/>
        </w:rPr>
        <w:t>ore ISEE 2024</w:t>
      </w:r>
      <w:r w:rsidRPr="00950132">
        <w:rPr>
          <w:sz w:val="24"/>
          <w:szCs w:val="24"/>
        </w:rPr>
        <w:t>, sino a esaurimento risorse. Non saranno considerate le posizioni contrattuali a credito.</w:t>
      </w:r>
    </w:p>
    <w:p w14:paraId="7EBA5010" w14:textId="77777777" w:rsidR="002F5092" w:rsidRPr="00950132" w:rsidRDefault="002F5092" w:rsidP="002F50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0F4ED2" w14:textId="77777777" w:rsidR="002F5092" w:rsidRPr="0095013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950132">
        <w:rPr>
          <w:b/>
          <w:sz w:val="24"/>
          <w:szCs w:val="24"/>
        </w:rPr>
        <w:t xml:space="preserve">MOTIVI DI ESCLUSIONE DELLE DOMANDE </w:t>
      </w:r>
    </w:p>
    <w:p w14:paraId="35931B70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Sono escluse le domande: </w:t>
      </w:r>
    </w:p>
    <w:p w14:paraId="2BEA1382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a) pervenute fuori termine; </w:t>
      </w:r>
    </w:p>
    <w:p w14:paraId="3944F4F8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b) pervenute da nuclei familiari che non risultino in possesso anche di uno solo dei requisiti indicati al punto 3 del presente avviso; </w:t>
      </w:r>
    </w:p>
    <w:p w14:paraId="0F2599B9" w14:textId="77777777" w:rsidR="00297E46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c) redatte in maniera incompleta; </w:t>
      </w:r>
    </w:p>
    <w:p w14:paraId="5562BE7E" w14:textId="4561335E" w:rsidR="002F5092" w:rsidRPr="00950132" w:rsidRDefault="00297E46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d</w:t>
      </w:r>
      <w:r w:rsidR="002F5092" w:rsidRPr="00950132">
        <w:rPr>
          <w:sz w:val="24"/>
          <w:szCs w:val="24"/>
        </w:rPr>
        <w:t xml:space="preserve">) non debitamente firmate; </w:t>
      </w:r>
    </w:p>
    <w:p w14:paraId="614292CA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e) per le quali le verifiche condotte dall’Ente Proprietario evidenzino omissioni o situazioni reddituali/patrimoniali/anagrafiche non rispondenti a quelle dichiarate dal nucleo familiare in sede di Anagrafe Utenza; </w:t>
      </w:r>
    </w:p>
    <w:p w14:paraId="5151426A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f) pervenute da nuclei familiari che risultino inadempienti nell’aggiornamento Anagrafe Utenza; </w:t>
      </w:r>
    </w:p>
    <w:p w14:paraId="4C191017" w14:textId="7777777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g) pervenute da nuclei familiari assegnatari di alloggi siti in comuni per cui non risultino risorse stanziate né economie derivanti da precedenti contributi; </w:t>
      </w:r>
    </w:p>
    <w:p w14:paraId="0DE1E387" w14:textId="17EB52F7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 xml:space="preserve">h) pervenute da nuclei familiari assegnatari con altre misure contributive; </w:t>
      </w:r>
    </w:p>
    <w:p w14:paraId="4C9E5F03" w14:textId="2DE25DBA" w:rsidR="002F5092" w:rsidRPr="0095013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950132">
        <w:rPr>
          <w:sz w:val="24"/>
          <w:szCs w:val="24"/>
        </w:rPr>
        <w:t>i) pervenute da nuclei familiari con partita contabile a credito.</w:t>
      </w:r>
    </w:p>
    <w:p w14:paraId="60327E70" w14:textId="77777777" w:rsidR="002F5092" w:rsidRPr="00F11D92" w:rsidRDefault="002F5092" w:rsidP="002F5092">
      <w:pPr>
        <w:spacing w:after="0" w:line="240" w:lineRule="auto"/>
        <w:jc w:val="both"/>
        <w:rPr>
          <w:sz w:val="24"/>
          <w:szCs w:val="24"/>
        </w:rPr>
      </w:pPr>
    </w:p>
    <w:p w14:paraId="297BDD19" w14:textId="77777777" w:rsidR="002F5092" w:rsidRPr="00F11D9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F11D92">
        <w:rPr>
          <w:b/>
          <w:sz w:val="24"/>
          <w:szCs w:val="24"/>
        </w:rPr>
        <w:t xml:space="preserve">RENDICONTAZIONE </w:t>
      </w:r>
    </w:p>
    <w:p w14:paraId="0C296EAD" w14:textId="7B06B726" w:rsidR="002F5092" w:rsidRPr="00F11D92" w:rsidRDefault="000476EF" w:rsidP="002F5092">
      <w:pPr>
        <w:spacing w:after="0" w:line="240" w:lineRule="auto"/>
        <w:jc w:val="both"/>
        <w:rPr>
          <w:sz w:val="24"/>
          <w:szCs w:val="24"/>
        </w:rPr>
      </w:pPr>
      <w:r w:rsidRPr="00F11D92">
        <w:rPr>
          <w:sz w:val="24"/>
          <w:szCs w:val="24"/>
        </w:rPr>
        <w:t xml:space="preserve">Come stabilito dalla DGR </w:t>
      </w:r>
      <w:r w:rsidR="002F5092" w:rsidRPr="00F11D92">
        <w:rPr>
          <w:sz w:val="24"/>
          <w:szCs w:val="24"/>
        </w:rPr>
        <w:t xml:space="preserve"> </w:t>
      </w:r>
      <w:r w:rsidR="00F11D92" w:rsidRPr="00F11D92">
        <w:rPr>
          <w:rFonts w:cstheme="minorHAnsi"/>
          <w:caps/>
          <w:sz w:val="24"/>
          <w:szCs w:val="24"/>
        </w:rPr>
        <w:t>17/06/</w:t>
      </w:r>
      <w:proofErr w:type="gramStart"/>
      <w:r w:rsidR="00F11D92" w:rsidRPr="00F11D92">
        <w:rPr>
          <w:rFonts w:cstheme="minorHAnsi"/>
          <w:caps/>
          <w:sz w:val="24"/>
          <w:szCs w:val="24"/>
        </w:rPr>
        <w:t>2024</w:t>
      </w:r>
      <w:r w:rsidRPr="00F11D92">
        <w:rPr>
          <w:rFonts w:cstheme="minorHAnsi"/>
          <w:caps/>
          <w:sz w:val="24"/>
          <w:szCs w:val="24"/>
        </w:rPr>
        <w:t xml:space="preserve">  n.</w:t>
      </w:r>
      <w:proofErr w:type="gramEnd"/>
      <w:r w:rsidRPr="00F11D92">
        <w:rPr>
          <w:rFonts w:cstheme="minorHAnsi"/>
          <w:caps/>
          <w:sz w:val="24"/>
          <w:szCs w:val="24"/>
        </w:rPr>
        <w:t xml:space="preserve"> XIi/</w:t>
      </w:r>
      <w:r w:rsidR="00F11D92" w:rsidRPr="00F11D92">
        <w:rPr>
          <w:rFonts w:cstheme="minorHAnsi"/>
          <w:caps/>
          <w:sz w:val="24"/>
          <w:szCs w:val="24"/>
        </w:rPr>
        <w:t>2563</w:t>
      </w:r>
      <w:r w:rsidR="002F5092" w:rsidRPr="00F11D92">
        <w:rPr>
          <w:sz w:val="24"/>
          <w:szCs w:val="24"/>
        </w:rPr>
        <w:t>, il termine per la rendicontazione della misura a Regione Lombardia è fissato al 30/04/202</w:t>
      </w:r>
      <w:r w:rsidR="00F11D92" w:rsidRPr="00F11D92">
        <w:rPr>
          <w:sz w:val="24"/>
          <w:szCs w:val="24"/>
        </w:rPr>
        <w:t>5</w:t>
      </w:r>
      <w:r w:rsidR="002F5092" w:rsidRPr="00F11D92">
        <w:rPr>
          <w:sz w:val="24"/>
          <w:szCs w:val="24"/>
        </w:rPr>
        <w:t>.</w:t>
      </w:r>
    </w:p>
    <w:p w14:paraId="4C28A3D0" w14:textId="77777777" w:rsidR="002F5092" w:rsidRPr="00F11D92" w:rsidRDefault="002F5092" w:rsidP="002F5092">
      <w:pPr>
        <w:spacing w:after="0" w:line="240" w:lineRule="auto"/>
        <w:jc w:val="both"/>
        <w:rPr>
          <w:sz w:val="24"/>
          <w:szCs w:val="24"/>
        </w:rPr>
      </w:pPr>
    </w:p>
    <w:p w14:paraId="6A661618" w14:textId="77777777" w:rsidR="002F5092" w:rsidRPr="00F11D92" w:rsidRDefault="002F5092" w:rsidP="002F5092">
      <w:pPr>
        <w:spacing w:after="0" w:line="240" w:lineRule="auto"/>
        <w:jc w:val="both"/>
        <w:rPr>
          <w:b/>
          <w:sz w:val="24"/>
          <w:szCs w:val="24"/>
        </w:rPr>
      </w:pPr>
      <w:r w:rsidRPr="00F11D92">
        <w:rPr>
          <w:b/>
          <w:sz w:val="24"/>
          <w:szCs w:val="24"/>
        </w:rPr>
        <w:t xml:space="preserve">RESPONSABILE DEL PROCEDIMENTO </w:t>
      </w:r>
    </w:p>
    <w:p w14:paraId="6E925082" w14:textId="31CAB015" w:rsidR="002F5092" w:rsidRPr="00F11D92" w:rsidRDefault="002F5092" w:rsidP="002F5092">
      <w:pPr>
        <w:spacing w:after="0" w:line="240" w:lineRule="auto"/>
        <w:jc w:val="both"/>
        <w:rPr>
          <w:sz w:val="24"/>
          <w:szCs w:val="24"/>
        </w:rPr>
      </w:pPr>
      <w:r w:rsidRPr="00F11D92">
        <w:rPr>
          <w:sz w:val="24"/>
          <w:szCs w:val="24"/>
        </w:rPr>
        <w:t>Il Responsabile del Procedimento di erogazione del contribu</w:t>
      </w:r>
      <w:r w:rsidR="00F11D92" w:rsidRPr="00F11D92">
        <w:rPr>
          <w:sz w:val="24"/>
          <w:szCs w:val="24"/>
        </w:rPr>
        <w:t>to regionale di solidarietà 2024</w:t>
      </w:r>
      <w:r w:rsidRPr="00F11D92">
        <w:rPr>
          <w:sz w:val="24"/>
          <w:szCs w:val="24"/>
        </w:rPr>
        <w:t xml:space="preserve"> è la responsabile del servizio sociale.</w:t>
      </w:r>
    </w:p>
    <w:p w14:paraId="7337270E" w14:textId="77777777" w:rsidR="007E73BF" w:rsidRPr="00F11D92" w:rsidRDefault="007E73BF" w:rsidP="002F50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8BB133" w14:textId="77777777" w:rsidR="008E7035" w:rsidRPr="00F11D92" w:rsidRDefault="008E7035" w:rsidP="008E7035">
      <w:pPr>
        <w:jc w:val="both"/>
        <w:rPr>
          <w:rFonts w:cstheme="minorHAnsi"/>
          <w:b/>
          <w:bCs/>
          <w:sz w:val="24"/>
          <w:szCs w:val="24"/>
        </w:rPr>
      </w:pPr>
    </w:p>
    <w:p w14:paraId="3905F7B2" w14:textId="7CBFA0E0" w:rsidR="008E7035" w:rsidRPr="00F11D92" w:rsidRDefault="008E7035" w:rsidP="008E7035">
      <w:pPr>
        <w:jc w:val="both"/>
        <w:rPr>
          <w:rFonts w:cstheme="minorHAnsi"/>
          <w:b/>
          <w:bCs/>
          <w:sz w:val="24"/>
          <w:szCs w:val="24"/>
        </w:rPr>
      </w:pPr>
      <w:r w:rsidRPr="00F11D92">
        <w:rPr>
          <w:rFonts w:cstheme="minorHAnsi"/>
          <w:b/>
          <w:bCs/>
          <w:sz w:val="24"/>
          <w:szCs w:val="24"/>
        </w:rPr>
        <w:t>Per informazioni è possibile contattare il servizio sociale al numero 0331/828460 (martedì e giovedì) o al numero 0331/828446 (dal lunedì al venerdì mattina</w:t>
      </w:r>
      <w:proofErr w:type="gramStart"/>
      <w:r w:rsidRPr="00F11D92">
        <w:rPr>
          <w:rFonts w:cstheme="minorHAnsi"/>
          <w:b/>
          <w:bCs/>
          <w:sz w:val="24"/>
          <w:szCs w:val="24"/>
        </w:rPr>
        <w:t>) .</w:t>
      </w:r>
      <w:proofErr w:type="gramEnd"/>
    </w:p>
    <w:p w14:paraId="25E22F89" w14:textId="1470735A" w:rsidR="00344F19" w:rsidRPr="00F30CF6" w:rsidRDefault="00344F19" w:rsidP="008E7035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344F19" w:rsidRPr="00F30CF6" w:rsidSect="00DA2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7E0AEB"/>
    <w:multiLevelType w:val="hybridMultilevel"/>
    <w:tmpl w:val="175ECA16"/>
    <w:lvl w:ilvl="0" w:tplc="145EA1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689256676">
    <w:abstractNumId w:val="0"/>
  </w:num>
  <w:num w:numId="2" w16cid:durableId="28246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19"/>
    <w:rsid w:val="000476EF"/>
    <w:rsid w:val="000C3A11"/>
    <w:rsid w:val="001C40C0"/>
    <w:rsid w:val="00203BC1"/>
    <w:rsid w:val="00297E46"/>
    <w:rsid w:val="002C2927"/>
    <w:rsid w:val="002F5092"/>
    <w:rsid w:val="0030752A"/>
    <w:rsid w:val="0031683F"/>
    <w:rsid w:val="00344F19"/>
    <w:rsid w:val="00356AEF"/>
    <w:rsid w:val="003C57D8"/>
    <w:rsid w:val="003F0904"/>
    <w:rsid w:val="004471FD"/>
    <w:rsid w:val="004B7636"/>
    <w:rsid w:val="004F5F3C"/>
    <w:rsid w:val="00512F00"/>
    <w:rsid w:val="00513367"/>
    <w:rsid w:val="005E1B7D"/>
    <w:rsid w:val="006C16B2"/>
    <w:rsid w:val="007150E2"/>
    <w:rsid w:val="0076347F"/>
    <w:rsid w:val="007E73BF"/>
    <w:rsid w:val="008E7035"/>
    <w:rsid w:val="00933EBA"/>
    <w:rsid w:val="00950132"/>
    <w:rsid w:val="00A96E0B"/>
    <w:rsid w:val="00AF000F"/>
    <w:rsid w:val="00C010C8"/>
    <w:rsid w:val="00D25F46"/>
    <w:rsid w:val="00D3036B"/>
    <w:rsid w:val="00DA21D5"/>
    <w:rsid w:val="00E164C7"/>
    <w:rsid w:val="00E55FBD"/>
    <w:rsid w:val="00E96B8A"/>
    <w:rsid w:val="00EE20C3"/>
    <w:rsid w:val="00F11D92"/>
    <w:rsid w:val="00F30CF6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901"/>
  <w15:docId w15:val="{7EAE114B-767A-430F-AC59-430D2901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F19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96B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96B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83F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96B8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96B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30752A"/>
    <w:pPr>
      <w:tabs>
        <w:tab w:val="left" w:pos="4819"/>
        <w:tab w:val="left" w:pos="9638"/>
      </w:tabs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zh-CN"/>
    </w:rPr>
  </w:style>
  <w:style w:type="paragraph" w:styleId="Intestazione">
    <w:name w:val="header"/>
    <w:basedOn w:val="Normale"/>
    <w:link w:val="IntestazioneCarattere"/>
    <w:semiHidden/>
    <w:rsid w:val="008E70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E70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70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comune.venegonosuperiore.v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9FB73-C882-4369-A14F-9C7A02A6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Frangi</dc:creator>
  <cp:lastModifiedBy>Antonio Scalzo</cp:lastModifiedBy>
  <cp:revision>2</cp:revision>
  <dcterms:created xsi:type="dcterms:W3CDTF">2024-12-13T09:26:00Z</dcterms:created>
  <dcterms:modified xsi:type="dcterms:W3CDTF">2024-12-13T09:26:00Z</dcterms:modified>
</cp:coreProperties>
</file>